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28C0F" w14:textId="1D99BECD"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 xml:space="preserve">ΩΛ∆∑ </w:t>
      </w:r>
      <w:r w:rsidR="00572A1E">
        <w:rPr>
          <w:rFonts w:ascii="Times New Roman" w:eastAsia="Times New Roman" w:hAnsi="Times New Roman" w:cs="Times New Roman"/>
          <w:b/>
          <w:bCs/>
          <w:kern w:val="36"/>
          <w:sz w:val="48"/>
          <w:szCs w:val="48"/>
          <w:lang w:eastAsia="en-GB"/>
          <w14:ligatures w14:val="none"/>
        </w:rPr>
        <w:t xml:space="preserve">(OLDS) </w:t>
      </w:r>
      <w:r w:rsidRPr="00783314">
        <w:rPr>
          <w:rFonts w:ascii="Times New Roman" w:eastAsia="Times New Roman" w:hAnsi="Times New Roman" w:cs="Times New Roman"/>
          <w:b/>
          <w:bCs/>
          <w:kern w:val="36"/>
          <w:sz w:val="48"/>
          <w:szCs w:val="48"/>
          <w:lang w:eastAsia="en-GB"/>
          <w14:ligatures w14:val="none"/>
        </w:rPr>
        <w:t>Canon — Contents</w:t>
      </w:r>
    </w:p>
    <w:p w14:paraId="6F6400AD"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Recommended Runtime Loading Sequence</w:t>
      </w:r>
    </w:p>
    <w:p w14:paraId="6A7AD5E5"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For standard LLM-assisted analysis:</w:t>
      </w:r>
    </w:p>
    <w:p w14:paraId="056CA55C"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b/>
          <w:bCs/>
          <w:kern w:val="0"/>
          <w:lang w:eastAsia="en-GB"/>
          <w14:ligatures w14:val="none"/>
        </w:rPr>
        <w:t>1–2 (Kernel Runtime)</w:t>
      </w:r>
      <w:r w:rsidRPr="00783314">
        <w:rPr>
          <w:rFonts w:ascii="Times New Roman" w:eastAsia="Times New Roman" w:hAnsi="Times New Roman" w:cs="Times New Roman"/>
          <w:kern w:val="0"/>
          <w:lang w:eastAsia="en-GB"/>
          <w14:ligatures w14:val="none"/>
        </w:rPr>
        <w:br/>
        <w:t xml:space="preserve">→ </w:t>
      </w:r>
      <w:r w:rsidRPr="00783314">
        <w:rPr>
          <w:rFonts w:ascii="Times New Roman" w:eastAsia="Times New Roman" w:hAnsi="Times New Roman" w:cs="Times New Roman"/>
          <w:b/>
          <w:bCs/>
          <w:kern w:val="0"/>
          <w:lang w:eastAsia="en-GB"/>
          <w14:ligatures w14:val="none"/>
        </w:rPr>
        <w:t>3–4 (Constitutional Mechanics)</w:t>
      </w:r>
      <w:r w:rsidRPr="00783314">
        <w:rPr>
          <w:rFonts w:ascii="Times New Roman" w:eastAsia="Times New Roman" w:hAnsi="Times New Roman" w:cs="Times New Roman"/>
          <w:kern w:val="0"/>
          <w:lang w:eastAsia="en-GB"/>
          <w14:ligatures w14:val="none"/>
        </w:rPr>
        <w:br/>
        <w:t xml:space="preserve">→ </w:t>
      </w:r>
      <w:r w:rsidRPr="00783314">
        <w:rPr>
          <w:rFonts w:ascii="Times New Roman" w:eastAsia="Times New Roman" w:hAnsi="Times New Roman" w:cs="Times New Roman"/>
          <w:b/>
          <w:bCs/>
          <w:kern w:val="0"/>
          <w:lang w:eastAsia="en-GB"/>
          <w14:ligatures w14:val="none"/>
        </w:rPr>
        <w:t>5 (Dynamics &amp; Limits)</w:t>
      </w:r>
      <w:r w:rsidRPr="00783314">
        <w:rPr>
          <w:rFonts w:ascii="Times New Roman" w:eastAsia="Times New Roman" w:hAnsi="Times New Roman" w:cs="Times New Roman"/>
          <w:kern w:val="0"/>
          <w:lang w:eastAsia="en-GB"/>
          <w14:ligatures w14:val="none"/>
        </w:rPr>
        <w:br/>
        <w:t xml:space="preserve">→ </w:t>
      </w:r>
      <w:r w:rsidRPr="00783314">
        <w:rPr>
          <w:rFonts w:ascii="Times New Roman" w:eastAsia="Times New Roman" w:hAnsi="Times New Roman" w:cs="Times New Roman"/>
          <w:b/>
          <w:bCs/>
          <w:kern w:val="0"/>
          <w:lang w:eastAsia="en-GB"/>
          <w14:ligatures w14:val="none"/>
        </w:rPr>
        <w:t>6 &amp; 9 (Diagnostics)</w:t>
      </w:r>
      <w:r w:rsidRPr="00783314">
        <w:rPr>
          <w:rFonts w:ascii="Times New Roman" w:eastAsia="Times New Roman" w:hAnsi="Times New Roman" w:cs="Times New Roman"/>
          <w:kern w:val="0"/>
          <w:lang w:eastAsia="en-GB"/>
          <w14:ligatures w14:val="none"/>
        </w:rPr>
        <w:br/>
        <w:t xml:space="preserve">→ </w:t>
      </w:r>
      <w:r w:rsidRPr="00783314">
        <w:rPr>
          <w:rFonts w:ascii="Times New Roman" w:eastAsia="Times New Roman" w:hAnsi="Times New Roman" w:cs="Times New Roman"/>
          <w:b/>
          <w:bCs/>
          <w:kern w:val="0"/>
          <w:lang w:eastAsia="en-GB"/>
          <w14:ligatures w14:val="none"/>
        </w:rPr>
        <w:t>7–8 (Recursive Governance &amp; Debt)</w:t>
      </w:r>
      <w:r w:rsidRPr="00783314">
        <w:rPr>
          <w:rFonts w:ascii="Times New Roman" w:eastAsia="Times New Roman" w:hAnsi="Times New Roman" w:cs="Times New Roman"/>
          <w:kern w:val="0"/>
          <w:lang w:eastAsia="en-GB"/>
          <w14:ligatures w14:val="none"/>
        </w:rPr>
        <w:br/>
        <w:t xml:space="preserve">→ </w:t>
      </w:r>
      <w:r w:rsidRPr="00783314">
        <w:rPr>
          <w:rFonts w:ascii="Times New Roman" w:eastAsia="Times New Roman" w:hAnsi="Times New Roman" w:cs="Times New Roman"/>
          <w:b/>
          <w:bCs/>
          <w:kern w:val="0"/>
          <w:lang w:eastAsia="en-GB"/>
          <w14:ligatures w14:val="none"/>
        </w:rPr>
        <w:t>10 (Application Runtime)</w:t>
      </w:r>
    </w:p>
    <w:p w14:paraId="341074DE"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The Canon is designed primarily for modular runtime loading rather than sequential human reading.</w:t>
      </w:r>
    </w:p>
    <w:p w14:paraId="76603632"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0112253">
          <v:rect id="_x0000_i1032" alt="" style="width:451.3pt;height:.05pt;mso-width-percent:0;mso-height-percent:0;mso-width-percent:0;mso-height-percent:0" o:hralign="center" o:hrstd="t" o:hr="t" fillcolor="#a0a0a0" stroked="f"/>
        </w:pict>
      </w:r>
    </w:p>
    <w:p w14:paraId="640C1C4A"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Kernel Runtime</w:t>
      </w:r>
    </w:p>
    <w:p w14:paraId="3FA633F3"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Foundational primitives and attribution mechanics underlying all governance continuity systems.</w:t>
      </w:r>
    </w:p>
    <w:p w14:paraId="6623CEC9" w14:textId="25BC4F98"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 xml:space="preserve">1. </w:t>
      </w:r>
      <w:r w:rsidR="00572A1E" w:rsidRPr="00572A1E">
        <w:rPr>
          <w:rFonts w:ascii="Times New Roman" w:eastAsia="Times New Roman" w:hAnsi="Times New Roman" w:cs="Times New Roman"/>
          <w:b/>
          <w:bCs/>
          <w:kern w:val="0"/>
          <w:sz w:val="36"/>
          <w:szCs w:val="36"/>
          <w:lang w:eastAsia="en-GB"/>
          <w14:ligatures w14:val="none"/>
        </w:rPr>
        <w:t xml:space="preserve">ΩΛ∆∑ </w:t>
      </w:r>
      <w:r w:rsidRPr="00783314">
        <w:rPr>
          <w:rFonts w:ascii="Times New Roman" w:eastAsia="Times New Roman" w:hAnsi="Times New Roman" w:cs="Times New Roman"/>
          <w:b/>
          <w:bCs/>
          <w:kern w:val="0"/>
          <w:sz w:val="36"/>
          <w:szCs w:val="36"/>
          <w:lang w:eastAsia="en-GB"/>
          <w14:ligatures w14:val="none"/>
        </w:rPr>
        <w:t>Primitive Framework</w:t>
      </w:r>
    </w:p>
    <w:p w14:paraId="06C0E93D"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Runtime substrate: objects, binding, load, termination.</w:t>
      </w:r>
    </w:p>
    <w:p w14:paraId="31C07212" w14:textId="7CD3E34E"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 xml:space="preserve">2. </w:t>
      </w:r>
      <w:r w:rsidR="00572A1E" w:rsidRPr="00572A1E">
        <w:rPr>
          <w:rFonts w:ascii="Times New Roman" w:eastAsia="Times New Roman" w:hAnsi="Times New Roman" w:cs="Times New Roman"/>
          <w:b/>
          <w:bCs/>
          <w:kern w:val="0"/>
          <w:sz w:val="36"/>
          <w:szCs w:val="36"/>
          <w:lang w:eastAsia="en-GB"/>
          <w14:ligatures w14:val="none"/>
        </w:rPr>
        <w:t xml:space="preserve">∆∑ </w:t>
      </w:r>
      <w:r w:rsidRPr="00783314">
        <w:rPr>
          <w:rFonts w:ascii="Times New Roman" w:eastAsia="Times New Roman" w:hAnsi="Times New Roman" w:cs="Times New Roman"/>
          <w:b/>
          <w:bCs/>
          <w:kern w:val="0"/>
          <w:sz w:val="36"/>
          <w:szCs w:val="36"/>
          <w:lang w:eastAsia="en-GB"/>
          <w14:ligatures w14:val="none"/>
        </w:rPr>
        <w:t>Attributability Mechanics</w:t>
      </w:r>
    </w:p>
    <w:p w14:paraId="3EE4FD1F"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Attribution termination regimes, descent dynamics, synthetic closure.</w:t>
      </w:r>
    </w:p>
    <w:p w14:paraId="71CF6D45"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6DEA1380">
          <v:rect id="_x0000_i1031" alt="" style="width:451.3pt;height:.05pt;mso-width-percent:0;mso-height-percent:0;mso-width-percent:0;mso-height-percent:0" o:hralign="center" o:hrstd="t" o:hr="t" fillcolor="#a0a0a0" stroked="f"/>
        </w:pict>
      </w:r>
    </w:p>
    <w:p w14:paraId="3D9FD632"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Constitutional Mechanics</w:t>
      </w:r>
    </w:p>
    <w:p w14:paraId="37E905D2"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Conditions for lawful continuity, admissible abstraction, and valid institutional ignition.</w:t>
      </w:r>
    </w:p>
    <w:p w14:paraId="019111F9"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3. Continuity-First Legality</w:t>
      </w:r>
    </w:p>
    <w:p w14:paraId="356B3847"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Reconstructable continuity versus synthetic continuity.</w:t>
      </w:r>
    </w:p>
    <w:p w14:paraId="6D5AC5D2"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4. Abstraction Boundary + Ignition Geometry</w:t>
      </w:r>
    </w:p>
    <w:p w14:paraId="4E640046"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WFF governance objects, constructor reversibility, lawful invocation.</w:t>
      </w:r>
    </w:p>
    <w:p w14:paraId="6D6B685A"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lastRenderedPageBreak/>
        <w:pict w14:anchorId="61293128">
          <v:rect id="_x0000_i1030" alt="" style="width:451.3pt;height:.05pt;mso-width-percent:0;mso-height-percent:0;mso-width-percent:0;mso-height-percent:0" o:hralign="center" o:hrstd="t" o:hr="t" fillcolor="#a0a0a0" stroked="f"/>
        </w:pict>
      </w:r>
    </w:p>
    <w:p w14:paraId="4C8F2640"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Dynamics &amp; Limits</w:t>
      </w:r>
    </w:p>
    <w:p w14:paraId="2ABB521F"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Governance viability boundaries, reconstructability scarcity, and institutional collapse dynamics.</w:t>
      </w:r>
    </w:p>
    <w:p w14:paraId="6F4A462D"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5. Reconstructability Envelope + Failure Physics</w:t>
      </w:r>
    </w:p>
    <w:p w14:paraId="0F73212A"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Governance viability geometry, collapse propagation, anti-corrigibility emergence, and synthetic continuity dominance.</w:t>
      </w:r>
    </w:p>
    <w:p w14:paraId="4ECC02A0"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5F705193">
          <v:rect id="_x0000_i1029" alt="" style="width:451.3pt;height:.05pt;mso-width-percent:0;mso-height-percent:0;mso-width-percent:0;mso-height-percent:0" o:hralign="center" o:hrstd="t" o:hr="t" fillcolor="#a0a0a0" stroked="f"/>
        </w:pict>
      </w:r>
    </w:p>
    <w:p w14:paraId="038DA113"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Operational Runtime</w:t>
      </w:r>
    </w:p>
    <w:p w14:paraId="6B690D6C"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Executable diagnostics and constitutional airworthiness procedures.</w:t>
      </w:r>
    </w:p>
    <w:p w14:paraId="3834D8ED"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6. Lexworthiness Diagnostics</w:t>
      </w:r>
    </w:p>
    <w:p w14:paraId="5E72DD21"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Executable constitutional airworthiness tests for coercive institutions.</w:t>
      </w:r>
    </w:p>
    <w:p w14:paraId="779A1D71"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7DFEF407">
          <v:rect id="_x0000_i1028" alt="" style="width:451.3pt;height:.05pt;mso-width-percent:0;mso-height-percent:0;mso-width-percent:0;mso-height-percent:0" o:hralign="center" o:hrstd="t" o:hr="t" fillcolor="#a0a0a0" stroked="f"/>
        </w:pict>
      </w:r>
    </w:p>
    <w:p w14:paraId="6E686BD0"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Meta-Stability</w:t>
      </w:r>
    </w:p>
    <w:p w14:paraId="36FCFCD4"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Recursive governance dynamics and bounded corrigibility structures.</w:t>
      </w:r>
    </w:p>
    <w:p w14:paraId="227C2B02"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7. Recursive Constitutional Cybernetics + Meta-Corrigibility</w:t>
      </w:r>
    </w:p>
    <w:p w14:paraId="108AA4FA"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Recursive closure, self-certification drift, external reconstructability requirements.</w:t>
      </w:r>
    </w:p>
    <w:p w14:paraId="31E7B59B"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3E24A8BD">
          <v:rect id="_x0000_i1027" alt="" style="width:451.3pt;height:.05pt;mso-width-percent:0;mso-height-percent:0;mso-width-percent:0;mso-height-percent:0" o:hralign="center" o:hrstd="t" o:hr="t" fillcolor="#a0a0a0" stroked="f"/>
        </w:pict>
      </w:r>
    </w:p>
    <w:p w14:paraId="212ECA49"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Bridge Concepts</w:t>
      </w:r>
    </w:p>
    <w:p w14:paraId="1B13173B"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Accumulation mechanics connecting operational continuity to deferred structural instability.</w:t>
      </w:r>
    </w:p>
    <w:p w14:paraId="466EFB90"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8. Attribution Debt + Liability Inversion</w:t>
      </w:r>
    </w:p>
    <w:p w14:paraId="2AB5A7F1"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Synthetic governance objects, accountability diffusion, and liability inversion dynamics.</w:t>
      </w:r>
    </w:p>
    <w:p w14:paraId="15F8A038"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lastRenderedPageBreak/>
        <w:pict w14:anchorId="35671C22">
          <v:rect id="_x0000_i1026" alt="" style="width:451.3pt;height:.05pt;mso-width-percent:0;mso-height-percent:0;mso-width-percent:0;mso-height-percent:0" o:hralign="center" o:hrstd="t" o:hr="t" fillcolor="#a0a0a0" stroked="f"/>
        </w:pict>
      </w:r>
    </w:p>
    <w:p w14:paraId="7E274BBF"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Support Runtime</w:t>
      </w:r>
    </w:p>
    <w:p w14:paraId="4491E28F"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Executable interrogation methods and bounded application procedures.</w:t>
      </w:r>
    </w:p>
    <w:p w14:paraId="2BAD71AD"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9. Diagnostic Canon + Test Suite</w:t>
      </w:r>
    </w:p>
    <w:p w14:paraId="37EEB8A3"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Force-termination diagnostics, reconstructive probes, and envelope positioning.</w:t>
      </w:r>
    </w:p>
    <w:p w14:paraId="5C2E274B" w14:textId="77777777" w:rsidR="00783314" w:rsidRPr="00783314" w:rsidRDefault="00783314" w:rsidP="00783314">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783314">
        <w:rPr>
          <w:rFonts w:ascii="Times New Roman" w:eastAsia="Times New Roman" w:hAnsi="Times New Roman" w:cs="Times New Roman"/>
          <w:b/>
          <w:bCs/>
          <w:kern w:val="0"/>
          <w:sz w:val="36"/>
          <w:szCs w:val="36"/>
          <w:lang w:eastAsia="en-GB"/>
          <w14:ligatures w14:val="none"/>
        </w:rPr>
        <w:t>10. Application Heuristics + Transform Patterns</w:t>
      </w:r>
    </w:p>
    <w:p w14:paraId="71A65F87"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Event-local traversal, hinge selection, squirm-path mapping, and bounded intervention strategies.</w:t>
      </w:r>
    </w:p>
    <w:p w14:paraId="16ABC4D8" w14:textId="77777777" w:rsidR="00783314" w:rsidRPr="00783314" w:rsidRDefault="008C00CE" w:rsidP="00783314">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1AED1787">
          <v:rect id="_x0000_i1025" alt="" style="width:451.3pt;height:.05pt;mso-width-percent:0;mso-height-percent:0;mso-width-percent:0;mso-height-percent:0" o:hralign="center" o:hrstd="t" o:hr="t" fillcolor="#a0a0a0" stroked="f"/>
        </w:pict>
      </w:r>
    </w:p>
    <w:p w14:paraId="56AB3D40" w14:textId="77777777" w:rsidR="00783314" w:rsidRPr="00783314" w:rsidRDefault="00783314" w:rsidP="00783314">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783314">
        <w:rPr>
          <w:rFonts w:ascii="Times New Roman" w:eastAsia="Times New Roman" w:hAnsi="Times New Roman" w:cs="Times New Roman"/>
          <w:b/>
          <w:bCs/>
          <w:kern w:val="36"/>
          <w:sz w:val="48"/>
          <w:szCs w:val="48"/>
          <w:lang w:eastAsia="en-GB"/>
          <w14:ligatures w14:val="none"/>
        </w:rPr>
        <w:t>Canonical Kernel</w:t>
      </w:r>
    </w:p>
    <w:p w14:paraId="0259B597" w14:textId="77777777" w:rsidR="00783314" w:rsidRPr="00783314" w:rsidRDefault="00783314" w:rsidP="00783314">
      <w:pPr>
        <w:spacing w:before="100" w:beforeAutospacing="1" w:after="100" w:afterAutospacing="1" w:line="240" w:lineRule="auto"/>
        <w:rPr>
          <w:rFonts w:ascii="Times New Roman" w:eastAsia="Times New Roman" w:hAnsi="Times New Roman" w:cs="Times New Roman"/>
          <w:kern w:val="0"/>
          <w:lang w:eastAsia="en-GB"/>
          <w14:ligatures w14:val="none"/>
        </w:rPr>
      </w:pPr>
      <w:r w:rsidRPr="00783314">
        <w:rPr>
          <w:rFonts w:ascii="Times New Roman" w:eastAsia="Times New Roman" w:hAnsi="Times New Roman" w:cs="Times New Roman"/>
          <w:kern w:val="0"/>
          <w:lang w:eastAsia="en-GB"/>
          <w14:ligatures w14:val="none"/>
        </w:rPr>
        <w:t>The ΩΛ∆∑ Canon models governance systems as finite reconstructability systems operating under coordination load, in which operational continuity is preferentially conserved through attribution compression, procedural substitution, recursive closure, and synthetic continuity formation unless bounded by externally reconstructable constitutional constraints.</w:t>
      </w:r>
    </w:p>
    <w:p w14:paraId="6CED10B2" w14:textId="77777777" w:rsidR="0029789F" w:rsidRPr="00783314" w:rsidRDefault="0029789F" w:rsidP="00783314"/>
    <w:sectPr w:rsidR="0029789F" w:rsidRPr="007833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7C6D"/>
    <w:multiLevelType w:val="multilevel"/>
    <w:tmpl w:val="7E1C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97244"/>
    <w:multiLevelType w:val="multilevel"/>
    <w:tmpl w:val="E9502C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256532"/>
    <w:multiLevelType w:val="multilevel"/>
    <w:tmpl w:val="F6A856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2A619F"/>
    <w:multiLevelType w:val="multilevel"/>
    <w:tmpl w:val="9AE276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867CE0"/>
    <w:multiLevelType w:val="multilevel"/>
    <w:tmpl w:val="D60C3F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9306C0"/>
    <w:multiLevelType w:val="multilevel"/>
    <w:tmpl w:val="2C180E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716B95"/>
    <w:multiLevelType w:val="multilevel"/>
    <w:tmpl w:val="0818F6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436903">
    <w:abstractNumId w:val="0"/>
  </w:num>
  <w:num w:numId="2" w16cid:durableId="1509753244">
    <w:abstractNumId w:val="2"/>
  </w:num>
  <w:num w:numId="3" w16cid:durableId="533539062">
    <w:abstractNumId w:val="6"/>
  </w:num>
  <w:num w:numId="4" w16cid:durableId="1326864023">
    <w:abstractNumId w:val="3"/>
  </w:num>
  <w:num w:numId="5" w16cid:durableId="1515997372">
    <w:abstractNumId w:val="4"/>
  </w:num>
  <w:num w:numId="6" w16cid:durableId="1818377992">
    <w:abstractNumId w:val="1"/>
  </w:num>
  <w:num w:numId="7" w16cid:durableId="20401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89F"/>
    <w:rsid w:val="0029789F"/>
    <w:rsid w:val="00304915"/>
    <w:rsid w:val="00572A1E"/>
    <w:rsid w:val="00783314"/>
    <w:rsid w:val="008C00CE"/>
    <w:rsid w:val="00D5421B"/>
    <w:rsid w:val="00E52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0B657"/>
  <w15:chartTrackingRefBased/>
  <w15:docId w15:val="{22C5BE36-2FA5-5443-B68A-54821F97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78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978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8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78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78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78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78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78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78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8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978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78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78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78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78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78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78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789F"/>
    <w:rPr>
      <w:rFonts w:eastAsiaTheme="majorEastAsia" w:cstheme="majorBidi"/>
      <w:color w:val="272727" w:themeColor="text1" w:themeTint="D8"/>
    </w:rPr>
  </w:style>
  <w:style w:type="paragraph" w:styleId="Title">
    <w:name w:val="Title"/>
    <w:basedOn w:val="Normal"/>
    <w:next w:val="Normal"/>
    <w:link w:val="TitleChar"/>
    <w:uiPriority w:val="10"/>
    <w:qFormat/>
    <w:rsid w:val="002978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8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8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78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789F"/>
    <w:pPr>
      <w:spacing w:before="160"/>
      <w:jc w:val="center"/>
    </w:pPr>
    <w:rPr>
      <w:i/>
      <w:iCs/>
      <w:color w:val="404040" w:themeColor="text1" w:themeTint="BF"/>
    </w:rPr>
  </w:style>
  <w:style w:type="character" w:customStyle="1" w:styleId="QuoteChar">
    <w:name w:val="Quote Char"/>
    <w:basedOn w:val="DefaultParagraphFont"/>
    <w:link w:val="Quote"/>
    <w:uiPriority w:val="29"/>
    <w:rsid w:val="0029789F"/>
    <w:rPr>
      <w:i/>
      <w:iCs/>
      <w:color w:val="404040" w:themeColor="text1" w:themeTint="BF"/>
    </w:rPr>
  </w:style>
  <w:style w:type="paragraph" w:styleId="ListParagraph">
    <w:name w:val="List Paragraph"/>
    <w:basedOn w:val="Normal"/>
    <w:uiPriority w:val="34"/>
    <w:qFormat/>
    <w:rsid w:val="0029789F"/>
    <w:pPr>
      <w:ind w:left="720"/>
      <w:contextualSpacing/>
    </w:pPr>
  </w:style>
  <w:style w:type="character" w:styleId="IntenseEmphasis">
    <w:name w:val="Intense Emphasis"/>
    <w:basedOn w:val="DefaultParagraphFont"/>
    <w:uiPriority w:val="21"/>
    <w:qFormat/>
    <w:rsid w:val="0029789F"/>
    <w:rPr>
      <w:i/>
      <w:iCs/>
      <w:color w:val="0F4761" w:themeColor="accent1" w:themeShade="BF"/>
    </w:rPr>
  </w:style>
  <w:style w:type="paragraph" w:styleId="IntenseQuote">
    <w:name w:val="Intense Quote"/>
    <w:basedOn w:val="Normal"/>
    <w:next w:val="Normal"/>
    <w:link w:val="IntenseQuoteChar"/>
    <w:uiPriority w:val="30"/>
    <w:qFormat/>
    <w:rsid w:val="002978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89F"/>
    <w:rPr>
      <w:i/>
      <w:iCs/>
      <w:color w:val="0F4761" w:themeColor="accent1" w:themeShade="BF"/>
    </w:rPr>
  </w:style>
  <w:style w:type="character" w:styleId="IntenseReference">
    <w:name w:val="Intense Reference"/>
    <w:basedOn w:val="DefaultParagraphFont"/>
    <w:uiPriority w:val="32"/>
    <w:qFormat/>
    <w:rsid w:val="0029789F"/>
    <w:rPr>
      <w:b/>
      <w:bCs/>
      <w:smallCaps/>
      <w:color w:val="0F4761" w:themeColor="accent1" w:themeShade="BF"/>
      <w:spacing w:val="5"/>
    </w:rPr>
  </w:style>
  <w:style w:type="character" w:customStyle="1" w:styleId="s1">
    <w:name w:val="s1"/>
    <w:basedOn w:val="DefaultParagraphFont"/>
    <w:rsid w:val="0029789F"/>
  </w:style>
  <w:style w:type="paragraph" w:customStyle="1" w:styleId="p2">
    <w:name w:val="p2"/>
    <w:basedOn w:val="Normal"/>
    <w:rsid w:val="0029789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3">
    <w:name w:val="p3"/>
    <w:basedOn w:val="Normal"/>
    <w:rsid w:val="0029789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s2">
    <w:name w:val="s2"/>
    <w:basedOn w:val="DefaultParagraphFont"/>
    <w:rsid w:val="00783314"/>
  </w:style>
  <w:style w:type="paragraph" w:customStyle="1" w:styleId="p4">
    <w:name w:val="p4"/>
    <w:basedOn w:val="Normal"/>
    <w:rsid w:val="00783314"/>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296</Words>
  <Characters>2363</Characters>
  <Application>Microsoft Office Word</Application>
  <DocSecurity>0</DocSecurity>
  <Lines>63</Lines>
  <Paragraphs>45</Paragraphs>
  <ScaleCrop>false</ScaleCrop>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Geddes</dc:creator>
  <cp:keywords/>
  <dc:description/>
  <cp:lastModifiedBy>Martin Geddes</cp:lastModifiedBy>
  <cp:revision>3</cp:revision>
  <dcterms:created xsi:type="dcterms:W3CDTF">2026-05-18T08:41:00Z</dcterms:created>
  <dcterms:modified xsi:type="dcterms:W3CDTF">2026-05-18T10:10:00Z</dcterms:modified>
</cp:coreProperties>
</file>